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87</w:t>
      </w:r>
    </w:p>
    <w:p>
      <w:r>
        <w:t>Bundesgericht (BGE), 2014-12-10, DE</w:t>
      </w:r>
    </w:p>
    <w:p>
      <w:r>
        <w:rPr>
          <w:b/>
        </w:rPr>
        <w:t xml:space="preserve">Quelle: </w:t>
      </w:r>
      <w:r>
        <w:t>https://mcp.opencaselaw.ch/entscheid/bge_141 IV 87</w:t>
      </w:r>
    </w:p>
    <w:p>
      <w:r>
        <w:t>FR: ATF 141 IV 87</w:t>
      </w:r>
    </w:p>
    <w:p>
      <w:r>
        <w:t>IT: DTF 141 IV 87</w:t>
      </w:r>
    </w:p>
    <w:p>
      <w:pPr>
        <w:pStyle w:val="Heading2"/>
      </w:pPr>
      <w:r>
        <w:t>Regeste</w:t>
      </w:r>
    </w:p>
    <w:p>
      <w:r>
        <w:t>Regeste Art. 197, 255 Abs. 2 lit. a und Art. 260 Abs. 3 StPO; hinreichender Tatverdacht bei Zwangsmassnahmen; Erstellung von DNA-Profilen; erkennungsdienstliche Erfassung. Hinweise auf eine strafbare Handlung müssen erheblich und konkreter Natur sein, um einen hinreichenden Tatverdacht für die Anordnung von Zwangsmassnahmen (Art. 196-298 StPO) begründen zu können (E. 1.3.1 und 1.4.1). Die Erstellung eines DNA-Profils ist von der Staatsanwaltschaft (oder vom Gericht) anzuordnen. Art. 255 StPO ermöglicht nicht die routinemässige (invasive) Entnahme von DNA-Proben und deren Analyse. Die Kompetenz zur Erstellung von DNA-Profilen kann nicht durch generelle Weisungen der Generalstaatsanwaltschaft auf die Polizei übertragen werden (E. 1.3.2 und 1.4.2). Die mündliche Anordnung einer erkennungsdienstlichen Erfassung ist nur zulässig, wenn die Zwangsmassnahme unaufschiebbar ist. Abstrakte Zweckmässigkeitsüberlegungen können die gesetzlich vorgeschriebene Dringlichkeit nicht ersetzen (E. 1.3.3 und 1.4.3).</w:t>
      </w:r>
    </w:p>
    <w:p>
      <w:pPr>
        <w:pStyle w:val="Heading2"/>
      </w:pPr>
      <w:r>
        <w:t>Erwägungen</w:t>
      </w:r>
    </w:p>
    <w:p>
      <w:r>
        <w:rPr>
          <w:b/>
        </w:rPr>
        <w:t>E. 1.3.1</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(vgl. BGE 137 IV 122 E. 3.2 S. 126; Urteile 6B_1105/2013 vom 18. Juli 2014 E. 3.1; 6B_830/2013 vom 10. Dezember 2013 E. 1.4; mit Hinweisen).</w:t>
      </w:r>
    </w:p>
    <w:p>
      <w:r>
        <w:rPr>
          <w:b/>
        </w:rPr>
        <w:t>E. 1.3.2</w:t>
      </w:r>
    </w:p>
    <w:p>
      <w:r>
        <w:t>Gemäss Art. 255 Abs. 2 lit. a StPO kann die Polizei die nicht invasive Probenahme bei Personen anordnen. Die Erstellung eines Profils ist allerdings auch in solchen Fällen von der Staatsanwaltschaft (oder vom Gericht) anzuordnen (Botschaft vom 21. Dezember 2005 zur Vereinheitlichung des Strafprozessrechts, BBl 2006 1241 Ziff. 2.5.5; FRICKER/MAEDER, in: Basler Kommentar, BGE 141 IV 87 S. 91 Schweizerische Strafprozessordnung, 2. Aufl. 2014, N. 29 zu Art. 255 StPO ; NIKLAUS SCHMID, Schweizerische Strafprozessordnung, Praxiskommentar, 2. Aufl. 2013, N. 12 zu Art. 255 StPO ; THOMAS HANSJAKOB, in: Kommentar zur Schweizerischen Strafprozessordnung, Donatsch/Hansjakob/Lieber [Hrsg.], 2. Aufl. 2014, N. 21 zu Art. 255 StPO ).</w:t>
      </w:r>
    </w:p>
    <w:p>
      <w:r>
        <w:rPr>
          <w:b/>
        </w:rPr>
        <w:t>E. 1.3.3</w:t>
      </w:r>
    </w:p>
    <w:p>
      <w:r>
        <w:t>Zweck einer erkennungsdienstlichen Erfassung gemäss Art. 260 StPO ist die Abklärung des Sachverhaltes, worunter insbesondere die Feststellung der Identität einer Person fällt (vgl. BBl 2006 1243 Ziff. 2.5.6). Die erkennungsdienstliche Erfassung wird in einem schriftlichen, kurz begründeten Befehl angeordnet. In dringenden Fällen kann sie mündlich angeordnet werden, ist aber nachträglich schriftlich zu bestätigen ( Art. 260 Abs. 3 StPO ). Zulässigkeit und Verhältnismässigkeit erkennungsdienstlicher Erfassungen sind von Amtes wegen zu überprüfen (HANSJAKOB, a.a.O., N. 12 zu Art. 260 StPO ).</w:t>
      </w:r>
    </w:p>
    <w:p>
      <w:r>
        <w:rPr>
          <w:b/>
        </w:rPr>
        <w:t>E. 1.4.1</w:t>
      </w:r>
    </w:p>
    <w:p>
      <w:r>
        <w:t>Die Vorinstanz hält zutreffend fest, dass die erkennungsdienstliche Erfassung im Hinblick auf die Sachbeschädigung in zeitlicher Hinsicht nicht dringlich und auch nicht erforderlich war. Dies gilt auch für die Entnahme der DNA-Probe und die Profilerstellung. Die Ereignisse vom 30. Januar 2013 waren hinsichtlich Ablauf und Beteiligung der Beschwerdeführerin, deren Identität und Wohnort den Strafverfolgungsbehörden bekannt waren, abgeklärt. Die Zwangsmassnahmen lassen sich auch nicht mit anderen, möglicherweise von der Beschwerdeführerin begangenen oder noch zu begehenden Straftaten begründen. Insoweit fehlt es bereits offensichtlich an konkreten Anhaltspunkten, die einen hinreichenden Tatverdacht im Sinne von Art. 197 Abs. 1 lit. b StPO begründen könnten. Die Vorinstanz geht selbst von einem lediglich eher vagen Tatverdacht aus. Sie legt nicht dar, inwieweit der Versuch einer anderen an der Protestaktion vom 30. Januar 2013 beteiligten Person, eine zehn Tage zuvor abgehaltene Konferenz mittels Transparent und Kundgebung stören zu wollen, und das nicht bei der Beschwerdeführerin sichergestellte Informationsblatt gegen diese einen hinreichenden Tatverdacht auf ein Offizialdelikt begründen sollen, das seinerseits die Anordnung von Zwangsmassnahmen erlaubt. Dies ist auch nicht ersichtlich.</w:t>
      </w:r>
    </w:p>
    <w:p>
      <w:r>
        <w:rPr>
          <w:b/>
        </w:rPr>
        <w:t>E. 1.4.2</w:t>
      </w:r>
    </w:p>
    <w:p>
      <w:r>
        <w:t>Die Kantonspolizei durfte die Erstellung des DNA-Profils nicht selbst anordnen. Die nicht in den Akten liegende Weisung der BGE 141 IV 87 S. 92 Generalstaatsanwaltschaft, "bei nicht invasiven Probeentnahmen gemäss Art. 255 Abs. 2 lit. a StPO (...) in den Fällen von Art. 255 Abs. 1 lit. a, b und c StPO (...) generell die Analyse der DNA-Proben zwecks Erstellung eines DNA-Profils" vorzunehmen, erweist sich in mehrfacher Hinsicht als bundesrechtswidrig. Art. 255 StPO ermöglicht nicht bei jedem hinreichenden Tatverdacht die routinemässige (invasive) Entnahme von DNA-Proben, geschweige denn deren generelle Analyse (vgl. Urteil 1B_685/2011 vom 23. Februar 2012 E. 3.3; FRICKER/MAEDER, a.a.O., N. 9 zu Art. 255 StPO ; SCHMID, a.a.O., N. 4 zu Art. 255 StPO ; a.A. HANSJAKOB, a.a.O., N. 21 zu Art. 255 StPO ). Erforderlich ist eine Prüfung des jeweiligen Einzelfalls. Zudem hebt die Weisung die vom Gesetzgeber vorgesehene Differenzierung von DNA-Entnahme und DNA-Profil-Erstellung und die damit verbundenen unterschiedlichen Anordnungskompetenzen faktisch auf und überträgt diese in einer Vielzahl von Fällen der Polizei.</w:t>
      </w:r>
    </w:p>
    <w:p>
      <w:r>
        <w:rPr>
          <w:b/>
        </w:rPr>
        <w:t>E. 1.4.3</w:t>
      </w:r>
    </w:p>
    <w:p>
      <w:r>
        <w:t>Die erkennungsdienstliche Erfassung durfte mangels Dringlichkeit nicht mündlich angeordnet werden (vgl. Art. 260 Abs. 3 StPO ). Die Vorinstanz legt nicht dar, warum die personenbezogene Zwangsmassnahme im Hinblick auf mögliche weitere (Sachbeschädigungs-)Delikte unaufschiebbar gewesen sein soll. Identität und Adresse der Beschwerdeführerin waren bekannt und die erkennungsdienstliche Erfassung hätte - wie die Vorinstanz in Bezug auf die Anlasstat in der Universität Bern zutreffend ausführt - jederzeit nachgeholt werden können. Abstrakte Zweckmässigkeitsüberlegungen vermögen die für jeden Einzelfall zu prüfenden gesetzlichen Voraussetzungen nicht zu ersetzen. Dass die sofortige Anordnung und Durchführung der Zwangsmassnahmen (auch) im Interesse der Beschwerdeführerin gelegen haben könnte, ist vor dem Hintergrund, dass sie diesen ausdrücklich widersprochen und anschliessend mit allen ihr zur Verfügung stehenden Rechtsmitteln dagegen vorgegangen ist, nicht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